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Աթոռը/բրիֆինգ/ պետք է նախատեսված լինի գրասենյակային և սպասասրահային օգտագործման համար, ունենա ժամանակակից  դիզայն։ Նստատեղի և մեջքի հատվածի պաստառը պետք է պատրաստված լինի բարձրորակ կաշվի փոխարինող նյութից, մաշվածքին դիմացկուն և հեշտ մաքրվող։ Կարկասը պետք է լինի մետաղական, ամուր և կայուն կառուցվածքով։ Արմունկները պետք է լինեն մետաղյա։ Ոտքերը պետք է լինեն ֆիքսված մետաղական, ապահովելով աթոռի կայունությունը և անվտանգ շահագործումը։ Մետաղական հատվածները պետք է պատված լինեն պաշտպանիչ շերտով (փոշեներկ), կոռոզիայից պաշտպանված։ Աթոռը պետք է լինի նոր, չօգտագործված վիճակում։ Գույնը՝ պետք է  համաձայնեցվի Գնորդի հետ։
Ապրանքների մատակարարումը և պահեստավորումը Գնորդի կողմից նշված հասցե կատարում է Վաճառողը:
Արտաքին տեսքը՝ համաձայն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Լրագրասեղանը պետք է լինի ժամանակակից դիզայնով, նախատեսված ներքին օգտագործման համար։ Սեղանի վերին մակերեսը պետք է պատրաստված լինի թրծված (tempered) ապակուց՝ առնվազն 5-8 մմ հաստությամբ, հարվածների և քերծվածքների նկատմամբ դիմացկուն։ Սեղանը պետք է ունենա ներքևի լրացուցիչ ապակյա դարակ՝ նախատեսված ամսագրերի, գրքերի կամ այլ պարագաների պահպանման համար։ Սեղանի կառուցվածքը պետք է լինի մետաղական (պողպատե շրջանակ), պատված սև գույնի փոշեներկով, ապահովված կոռոզիայից պաշտպանությամբ։ Սեղանը պետք է լինի կայուն, ամուր և հարմարավետ օգտագործման համար։ Չափերը պետք է լինեն առնվազն՝ երկարություն 80-100 սմ, լայնություն 50-60 սմ, բարձրություն 40-45 սմ։ Գույնը՝ պետք է  համաձայնեցվի Գնորդի հետ։ Ապրանքի մատակարարումը և պահեստավորումը Գնորդի կողմից նշված հասցե կատարում է Վաճառողը:
Արտաքին տեսքը՝ համաձայն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