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սպիտակեղենի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սպիտակեղենի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սպիտակեղենի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սպիտակեղենի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անկողնային հավաքածու՝ պետք է լինի 100% բամբակ կամ առնվազն 70% բամբակ պարունակող գործվածքից: Գործվածքի խտությունը առնվազն 120գ/մ2: Հավաքածուն բաղկացած է ծածկոցակալից, սավանից և բարձի երեսից:
Ծածկոցակալի չափսը՝ առնվազն 145×215սմ, բացվող հատվածի երկարությունը` առնվազն 80սմ, կոճկվում է կայծակ-շղթայով: 
Սավանի չափսը՝ առնվազն 150×220սմ: 
Բարձի երեսի չափսը` առնվազն 50×70սմ:
Թույլատրելի շեղումը` ±3%: 
Գույնը՝ վառ գույների մեջ` չգունաթափվող /կապույտ, կարմիր, դեղին, կանաչ, վարդագույն/: 
Կարի որակը` ամուր, հարթ, առանց բաց կարերի: Գնի մեջ ներառում է փաթեթավորումը (յուրաքանչյուր հավաքածու` առանձին) բռնակներով թղթե կամ պոլիէթիլային տոպրակների մեջ դրված: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Գայի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15.05.2026թ.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