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N4 -մեկանգամյա օգտագործման, գործարանային փաթեթավորմամբ, փաթեթում առնվազն 44 հատ, նախատեսված 8-14կգ քաշով երեխաների համար: Լրիվ խոնավակլանումը ոչ պակաս 160գ-270գ,  ներծծման ժամանակը ոչ ավելի 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N5 -մեկանգամյա օգտագործման, գործարանային փաթեթավորմամբ, փաթեթում առնվազն 44 հատ, նախատեսված 11-18կգ քաշով երեխաների համար: Լրիվ խոնավակլանումը ոչ պակաս 160գ-270գ,  ներծծման ժամանակը ոչ ավելի 3վ: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01.05.2026թ.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01.05.2026թ.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