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ամառային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ամառային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ամառային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ամառային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(Քանաքեռ-Զեյթուն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(Արաբկիր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(էրեբունի վարչական շրջան)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__</w:t>
      </w:r>
      <w:r>
        <w:rPr>
          <w:rFonts w:ascii="Calibri" w:hAnsi="Calibri" w:cs="Calibri"/>
          <w:sz w:val="20"/>
          <w:szCs w:val="20"/>
          <w:lang w:val="hy-AM"/>
        </w:rPr>
        <w:t xml:space="preserve"> ( </w:t>
      </w:r>
      <w:r>
        <w:rPr>
          <w:rFonts w:ascii="Calibri" w:hAnsi="Calibri" w:cs="Calibri"/>
          <w:sz w:val="20"/>
          <w:szCs w:val="20"/>
          <w:highlight w:val="white"/>
          <w:lang w:val="hy-AM"/>
        </w:rPr>
        <w:t>0.05 - Քանաքեռ-Զեյթուն, Արաբկիր, 0.10 - Էրեբունի:</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__</w:t>
      </w:r>
      <w:r>
        <w:rPr>
          <w:rFonts w:ascii="Calibri" w:hAnsi="Calibri" w:cs="Calibri"/>
          <w:sz w:val="20"/>
          <w:szCs w:val="20"/>
          <w:lang w:val="hy-AM"/>
        </w:rPr>
        <w:t xml:space="preserve"> (</w:t>
      </w:r>
      <w:r>
        <w:rPr>
          <w:rFonts w:ascii="Calibri" w:hAnsi="Calibri" w:cs="Calibri"/>
          <w:sz w:val="20"/>
          <w:szCs w:val="20"/>
          <w:highlight w:val="white"/>
          <w:lang w:val="hy-AM"/>
        </w:rPr>
        <w:t>0.5 - Քանաքեռ-Զեյթուն, Արաբկիր, 10-Էրեբունի</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(защита от кислот с концетрацией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լուսանդրադարձման գործակիցը 60°C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ՔԱՆԱՔԵՌ-ԶԵՅԹՈՒՆ անվանումը,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պահպանմամբ: 
Մեջքի ասեղնագործման և կրծքի լոգոյի չափսերը լրացուցիչ 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լուսանդրադարձման գործակիցը 60°C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ինքնասոսնձվող ոչ գործվածքային կտորից, ուժեղացված գլխարկահովհարով, դիմային հատվածում ասեղնագործման կամ դաջման եղակակով գրվում է ՔԱՆԱՔԵՌ-ԶԵՅԹՈՒՆ անվանումը:
Շապիկը կարված է 160±5գ/մ2 մակերեսային խտությամբ բարձրորակ պենյա կոմպակտ կտորից, Գործվածքի բաղադրությունը 95% բամբակ, 5% էլաստան: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ՔԱՆԱՔԵՌ-ԶԵՅԹՈՒՆ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/չափսերը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համաձայնեցվում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ՔԱՆԱՔԵՌ-ԶԵՅԹՈՒՆ անվանումը: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սահմանված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ում հավատարմագրված կազմակերպության կողմից տրված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ԱՐԱԲԿԻՐ 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ինքնասսոսնձվող ոչ գործվածքային կտորից, ուժեղացված գլխարկահովհարով, դիմային հատվածում ասեղնագործման կամ դաջման եղակակով գրվում է ԱՐԱԲԿԻՐ անվանումը
Շապիկը կարված է 160±5% գ/մ2 մակերեսային խտությամբ բարձրորակ պենյա կոմպակտ կտորից, Գործվածքի բաղադրությունը 95% բամբակ, 5% էլաստոն: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ԱՐԱԲԿԻՐ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/չափսերը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համաձայնցեվում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ԱՐԱԲԿԻՐ անվանումը: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ում հավատարմագրված կազմակերպության կողմից տրված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և աշխատանքային կարճաճիտք կոշիկից (թվով 1 զույգ): 
     Ամառային բաճկոնը, տաբատները և կեպին պետք է կարվեն պոլիեսթերաբամբակային կտորից: Կտորը պետք է ունենա յուղաջրակայուն (МВО) և 50% կոնցենտրատով թթվային հիմքերից (защита от кислот с концетрацией 50% - К50)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լուսանդրադարձման գործակիցը 60°C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ԷՐԵԲՈՒՆԻ անվանումը,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պահպանմամբ: Մեջքի ասեղնագործման և կրծքի լոգոյի չափսերը լրացուցիչ 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լուսանդրադարձման գործակիցը 60°C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ինքնասոսնձվող ոչ գործվածքային կտորից, ուժեղացված գլխարկահովհարով, դիմային հատվածում ասեղնագործման կամ դաջման եղակակով գրվում է ԷՐԵԲՈՒՆԻ անվանումը:
     Շապիկը կարված է 160±5գ/մ2 մակերեսային խտությամբ բարձրորակ պենյա կոմպակտ կտորից, Գործվածքի բաղադրությունը 95% բամբակ, 5% էլաստան: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ԷՐԵԲՈՒՆԻ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/չափսերը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 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համաձայնեցվում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ԷՐԵԲՈՒՆԻ անվանումը: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սահմանված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ում հավատարմագրված կազմակերպության կողմից տրված լաբորատոր փորձարկման եզրակացություն: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մինչև 60-րդ օրացուցային օրըներառյալ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մինչև 60-րդ օրացուցային օրըներառյալ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Ս․Դավթի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50-րդ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