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 и одноразовые стаканчики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 и одноразовые стаканчики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 и одноразовые стаканчики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 и одноразовые стаканчики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21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Gerd по настоящему Договору в порядке, установленном законодательством РА, осуществляет аппарат руководителя управления снабжения и технического обслуживания:</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 т 5 м и 4 т 3 м, 10 А, 250 В ГОСТ Р 51324.1-99 или аналог. Безопасность согласно ГОСТ 12.2.007.0 -75 и техническому регламенту требований, предъявляемых к электрооборудования низкого напряжения, утвержденному решением N 150-Н правительства РА от 3 февраля 2010г. Разрез кабеля должен быть не менее 2х1 мм. Соединительные вилки монолитные, толщиной 4 мм, фирмы MAKEL, LUCIO или аналог. Доставка товара до складского хозяйства заказчика (Аргишти 1) осуществляется продавцом.Количество устанавливается до 126: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напряжения тока 220-250В, мощности не менее 6А. Для равного количества круглых и плоских заглушек. Доставка товара до складского хозяйства заказчика (Аргишти 1) осуществляется продавцом.Количество устанавливается до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/с цветной печатью/ объемом 170-180 мл, весом не менее 3,7 грамма. Термостойкие – устойчивы к жидкостям с высокой температурой в стакане. Используемые материалы безопасны для питьевой воды и других жидкостей. Печать и дизайн согласовываются с заказчиком заранее. Поставка продукции на склад заказчика осуществляется продавцом.Количество устанавливается до 150000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синтетического волокна предназначенная для упаковки многотомных работ, цвет: белый. Доставка товара до складского хозяйства заказчика (Аргишти 1) осуществляется продавцом.Количество устанавливается до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скотч шириной 18-20 мм, длина ленты не менее 36 м. Доставка товара до складского хозяйства заказчика (Аргишти 1) осуществляется продавцом.
Количество устанавливается до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скотч шириной 40-50 мм, длина ленты не менее 70 м. Доставка товара до складского хозяйства заказчика (Аргишти 1) осуществляется продавцом.Количество устанавливается до 100: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/соглашение/ вступает в силу с 21-го календарного дня и действует до 25.12.2025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/соглашение/ вступает в силу с 21-го календарного дня и действует до 25.12.2025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/соглашение/ вступает в силу с 21-го календарного дня и действует до 25.12.2025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/соглашение/ вступает в силу с 21-го календарного дня и действует до 25.12.2025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/соглашение/ вступает в силу с 21-го календарного дня и действует до 25.12.2025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/соглашение/ вступает в силу с 21-го календарного дня и действует до 25.12.2025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