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դրոշների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դրոշների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դրոշների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դրոշների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դրոշ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2024.12.24.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ԵՔ-ԷԱՃԱՊՁԲ-25/10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Գներդի իրավունքներն ու պարտականությունները ՀՀ օրենսդրությամբ սահմանված կարգով իրականացնում է Արաբկիր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կարմիր, կապույտ, նարնջագույն գույներից (վերևից ներքև)՝ հորիզոնական հավասարաչափ շերտերով: Լայնությունը 1,95մ-2մ, երկարությունը 4,5մ-4,6մ: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դրոշ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Դրոշի կենտրոնում պատկերված է կապույտով երիզված բրոնզագույն Երևանի զինանշանը՝ շրջապատված 12 կարմիր եռանկյունիներով, որոնք խորհրդանշում են Հայաստանի 12 մայրաքաղաքները։ Լայնությունը 1,90մ-1,95մ, երկարությունը 3,80մ-3,85մ: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