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ԵՔ-ԷԱՃԱՊՁԲ-24/335</w:t>
      </w:r>
      <w:r>
        <w:rPr>
          <w:rFonts w:ascii="Calibri" w:hAnsi="Calibri" w:cstheme="minorHAnsi"/>
          <w:i/>
        </w:rPr>
        <w:br/>
      </w:r>
      <w:r>
        <w:rPr>
          <w:rFonts w:ascii="Calibri" w:hAnsi="Calibri" w:cstheme="minorHAnsi"/>
          <w:szCs w:val="20"/>
          <w:lang w:val="af-ZA"/>
        </w:rPr>
        <w:t>2024.10.25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товары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2024.11.06.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ԵՔ-ԷԱՃԱՊՁԲ-24/335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ԵՔ-ԷԱՃԱՊՁԲ-24/335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18</w:t>
      </w:r>
      <w:r w:rsidR="0017004E" w:rsidRPr="00E4651F">
        <w:rPr>
          <w:rFonts w:cstheme="minorHAnsi"/>
          <w:lang w:val="hy-AM"/>
        </w:rPr>
        <w:t>(</w:t>
      </w:r>
      <w:r w:rsidR="00C94657" w:rsidRPr="00C94657">
        <w:rPr>
          <w:rFonts w:cstheme="minorHAnsi"/>
          <w:lang w:val="hy-AM"/>
        </w:rPr>
        <w:t>ноль целых восемнадцатисотых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Кентрон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брезент 2x3м.Материал: 100% полиэтилен.Транспортировку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брезент 3x4м.Материал: 100% полиэтилен.Транспортировку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со вставкой, замок внешний со вставкой запирает дверь, с четырьмя выходящими из замка стальными защелками, размеры по согласованию с Заказчиком.Транспортировку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КТУ-З для дерева, бумаги, картона, картин, стекла, фарфора и кожи, тип Дздз2385-006-02954519-96, 96-440-08, 1 кг. с контейнером.Транспортировку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керамический картридж Съемный белый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Проволока: 1,2 мм, корона: 10,6 мм, длина: 6-14 мм: Проволока: 1,2 мм, корона: 11,3 мм, длина: 6-14 мм: Гвозди : проволока: 1,2 мм, размер головки: 2 мм, длина: 10-15 мм; С скобами 500 шт./гвоздями 500 шт.Транспортировку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разрушения твердых поверхностей и материалов, таких как камень, бетон, асфальт, лед или мерзлый грунт.  Стержень изготовлен из прочной стали, дополнительно обработан антикоррозийными материалами. Один конец стержня заточен под карандаш, а другой сплющен. длина не менее 1м, диаметр не менее 32мм.Транспортировку и обработку Товара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